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LICENCIADO JULIO RAMÓN MENCHACA SALAZAR, GOBERNADOR CONSTITUCIONAL DEL ESTADO LIBRE Y SOBERANO DE HIDALGO, EN EL EJERCICIO DE LAS FACULTADES QUE ME CONFIEREN LOS ARTÍCULOS 71, FRACCIONES II Y XL DE LA CONSTITUCIÓN POLÍTICA DEL ESTADO DE HIDALGO, 2, 5, 7 Y 47 DE LA LEY ORGÁNICA DE LA ADMINISTRACIÓN PÚBLICA PARA EL ESTADO DE HIDALGO; Y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CONSIDERANDO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PRIMERO.-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la administración pública debe de mantenerse en constante evolución, por lo que resulta indispensable la actualización del marco legal en congruencia con los  objetivos y líneas de acción que establece el Acuerdo 1. Acuerdo para un gobierno cercano, justo y honesto, del Plan Estatal de Desarrollo del Estado de Hidalgo 2022-2028, que refiere a la transformación de la administración pública con base en la honestidad, transparencia y eficiencia, así como el mejoramiento del marco normativo hidalguense.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SEGUNDO.-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bajo ese dinamismo y derivado de las modificaciones a la estructura orgánica, es necesario reformar el  Reglamento Interior de la Unidad de Planeación y Prospectiva publicado en el Periódico Oficial del Estado de Hidalgo el 28 de julio de 2023, lo que coadyuvará al cumplimiento de los objetivos de la dependencia.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TERCERO.-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las modificaciones que se realizan, se encuentra la actualización de la denominación de Dirección de Gestión Institucional por Coordinación General del Despacho y de la Dirección General de Administración por Coordinación Administrativa, lo anterior  conforme al rediseño institucional realizado por Oficialía Mayor.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una medida estratégica para fortalecer la capacidad del gobierno para responder a las necesidades cambiantes, mejorar la eficiencia y la eficacia en el servicio público, se extingue la Dirección General de Percepción e Impacto Ciudadano y algunas de sus funciones se reasignan a las Direcciones Generales de Monitoreo y de Evaluación quienes considerarán la participación de la población a través del monitoreo ciudadano, lo que permitirá  aprovechar mejor las sinergias existentes así como la mejora en las políticas públicas.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igual forma, se precisan funciones de las Direcciones Generales de la Unidad de Planeación y Prospectiva en virtud de que en el ejercicio de las mismas fueron identificadas áreas de mejora, tal es el caso de la Dirección General de Desarrollo Regional y Metropolitano, quien adiciona su participación en la planeación y ejecución de mecanismos de planeación  territorial y urbana y de la Dirección General de Análisis Geográfico y Mejora a las Políticas Pública cuyas funciones se alinean a la Ley de Planeación y Prospectiva para el Estado de Hidalgo.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el mejor funcionamiento de la Dirección General de Consulta y Normatividad se puntualizan algunas atribuciones, tales como la instrucción para el desahogo de diligencias relacionadas con su competencia y la de formular observaciones a los proyectos de leyes, reglamentos, decretos y demás disposiciones relacionadas con la competencia de la Unidad de Planeación y Prospectiva.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POR LO ANTERIORMENTE EXPUESTO, HE TENIDO A BIEN EXPEDIR EL SIGUIENTE: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DECRETO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QUE REFORMA, DEROGA Y ADICIONA DIVERSAS DISPOSICIONES DEL REGLAMENTO INTERIOR DE LA UNIDAD DE PLANEACIÓN Y PROSPECTIVA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ÚNICO: SE REFORMAN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incisos a, b, y e de la fracción II, inciso a y b de la fracción III, e inciso b de la fracción V del artículo 7; fracción LXVI del artículo 13; primer párrafo y fracción XXVIII del artículo 14; fracciones XII y XV del artículo 16; fracciones XIV, XXII, XXVII del artículo 17; fracciones II, V, VI, VIII, X, XI y XIII del artículo 19; fracciones IX, X y XVI del artículo 22; fracciones VIII, XIII, XV y XVI del artículo 23; fracciones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I, II, IV, V, VI, VII, VIII, IX, X, XI, XII, XIII, XIV, XV, XVI, XVII, XVIII, XIX, XXI, XXIII, XXIV, XXV, XXVI, XXVII, XXVIII y XXIX del artículo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24; fracción XXIV del artículo 26;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fracciones II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V, VII y IX del artículo 28; fracciones I, II, VI, VII y IX del artículo 29; fracciones I, II, III, IV, V, VI, VII, VIII, IX, X, XI y XII del artículo 31;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 ADICIONAN: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fracciones LXVII y LXVIII del artículo 13; artículo 13 Bis; fracción XXIX del artículo 14; fracción XVI del artículo 16; fracción XXVIII del artículo 17; fracción XI Bis del artículo 19; fracciones XVII, XVIII y XIX del artículo 22; fracciones III Bis del artículo 23; fracciones XXX y XXXI del artículo 24; fracciones XXV y XXVI del artículo 26; fracciones X, XI, XII y XIII del artículo 28; y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 DEROGAN: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inciso d de la fracción II y el inciso c de la fracción V del artículo 7, artículo 30 del Reglamento Interior de la Unidad de Planeación y Prospectiva, para quedar como sigue: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7.- …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I.- …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II.- …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Coordinación del Despacho;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de Gestión;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deroga;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Coordinación Administrativa; 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III.- …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General de Consulta y Normatividad; y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General de Control y Seguimiento a Entidades Paraestatales.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IV.- …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V.- 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General de Monitoreo; 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deroga;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VI.- …       </w:t>
        <w:tab/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13.- …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 a la LXV.- …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LXVI.-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Solicitar a las dependencias y entidades la información necesaria para el cumplimiento de las atribuciones de la Unidad;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LXVII.-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Ordenar la práctica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visitas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las Entidades Paraestatales, para verificar la información de naturaleza fiscal, administrativa, financiera, presupuestal, jurídica; y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LXVIII.-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del Poder Ejecutivo del Estado, en el ámbito de su competencia y otras leyes aplicables.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13 Bis.-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Corresponde a la persona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Titula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de la Coordinación General del Despacho las siguientes funciones: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</w:t>
        <w:tab/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Apoyar las actividades propias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la persona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Titular de la Unidad;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Supervisar la programación y coordinación de la agenda de la persona Titular de la Unidad de Planeación y Prospectiva respecto a reuniones de trabajo, visitas, giras, entrevistas y demás eventos en los que participe u organice;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Solicitar la información necesaria a las instancias respectivas, previa autorización de la persona Titular de la Unidad, para instrumentar los acuerdos correspondientes;</w:t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Instrumentar los acuerdos establecidos por la persona Titular de la Unidad;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Monitorear el resguardo del archivo documental de la persona Titular de la Unidad de Planeación y Prospectiva;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Fungir como enlace entre la persona Titular de la Unidad de Planeación y Prospectiva y las y los servidores públicos de las dependencias y entidades de la Administración Pública Federal, Estatal y Municipal;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Acordar con la persona Titular de la Unidad de Planeación y Prospectiva el despacho de los asuntos de su competencia;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Dar seguimiento a los acuerdos e instrucciones que emita la persona Titular de la Unidad de Planeación y Prospectiva;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a las áreas bajo su cargo para el mejor desempeño de los asuntos que le asigne la persona Titular de la Unidad de Planeación y Prospectiva;</w:t>
      </w:r>
    </w:p>
    <w:p w:rsidR="00000000" w:rsidDel="00000000" w:rsidP="00000000" w:rsidRDefault="00000000" w:rsidRPr="00000000" w14:paraId="0000002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Vigilar que la persona Titular de la Unidad de Planeación y Prospectiva reciba asistencia técnica, a fin de obtener la información necesaria para la debida toma de decisiones;</w:t>
      </w:r>
    </w:p>
    <w:p w:rsidR="00000000" w:rsidDel="00000000" w:rsidP="00000000" w:rsidRDefault="00000000" w:rsidRPr="00000000" w14:paraId="0000003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Vigilar la creación de material gráfico que sirva de apoyo para facilitar la compresión de la información y resaltar los puntos clave de los temas expuestos en instrumentos requeridos por el Titular de la Unidad de Planeación y Prospectiva; </w:t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la recepción y distribución de la correspondencia de la Unidad de Planeación y Prospectiva, para que su atención se realice de forma oportuna y eficiente;</w:t>
      </w:r>
    </w:p>
    <w:p w:rsidR="00000000" w:rsidDel="00000000" w:rsidP="00000000" w:rsidRDefault="00000000" w:rsidRPr="00000000" w14:paraId="0000003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Verificar que los asuntos turnados al Titular de la Unidad de Planeación y Prospectiva para la toma de decisiones, cuenten con el soporte documental correspondiente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la logística de las reuniones de trabajo, visitas, giras y  entrevistas  en los que participe u organice la persona Titular de la Unidad de Planeación y Prospectiva;</w:t>
      </w:r>
    </w:p>
    <w:p w:rsidR="00000000" w:rsidDel="00000000" w:rsidP="00000000" w:rsidRDefault="00000000" w:rsidRPr="00000000" w14:paraId="0000003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Supervisar la atención, información, orientación y seguimiento brindado a la ciudadanía que busca el apoyo y/o acompañamiento por parte de la persona Titular de la Unidad de Planeación y Prospectiva para realizar gestiones de acuerdo a sus intereses;</w:t>
      </w:r>
    </w:p>
    <w:p w:rsidR="00000000" w:rsidDel="00000000" w:rsidP="00000000" w:rsidRDefault="00000000" w:rsidRPr="00000000" w14:paraId="0000003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Vigilar la creación de contenido y adecuado funcionamiento de las estrategias de difusión en los diversos medios masivos de comunicación sobre las actividades de la persona Titular de la Unidad de Planeación y Prospectiva, a efecto de mantener informada a la ciudadanía;</w:t>
      </w:r>
    </w:p>
    <w:p w:rsidR="00000000" w:rsidDel="00000000" w:rsidP="00000000" w:rsidRDefault="00000000" w:rsidRPr="00000000" w14:paraId="0000003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 el fortalecimiento de las relaciones públicas entre la persona Titular de la Unidad de Planeación y Prospectiva y los diferentes sectores público y privado, a fin de mantener relaciones positivas y efectivas que sirvan de apoyo para el cumplimiento de las metas y objetivos de la Dependencia; y</w:t>
      </w:r>
    </w:p>
    <w:p w:rsidR="00000000" w:rsidDel="00000000" w:rsidP="00000000" w:rsidRDefault="00000000" w:rsidRPr="00000000" w14:paraId="00000037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 la Unidad y las disposiciones legales en la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14.-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Corresponde a la Coordinación Administrativa las siguientes funciones:</w:t>
      </w:r>
    </w:p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 a la XXVII.- …</w:t>
      </w:r>
    </w:p>
    <w:p w:rsidR="00000000" w:rsidDel="00000000" w:rsidP="00000000" w:rsidRDefault="00000000" w:rsidRPr="00000000" w14:paraId="0000003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Administrar el contenido de la página web institucional de la Unidad de conformidad con la normatividad aplicable; y</w:t>
      </w:r>
    </w:p>
    <w:p w:rsidR="00000000" w:rsidDel="00000000" w:rsidP="00000000" w:rsidRDefault="00000000" w:rsidRPr="00000000" w14:paraId="0000003B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 la Unidad y las disposiciones legales en la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16.- …</w:t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 a la XI.- …</w:t>
      </w:r>
    </w:p>
    <w:p w:rsidR="00000000" w:rsidDel="00000000" w:rsidP="00000000" w:rsidRDefault="00000000" w:rsidRPr="00000000" w14:paraId="0000003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 en la elaboración del anteproyecto de presupuesto de egresos anual de la Coordinación General y validar los egresos correspondientes a sus unidades administrativas adscritas, remitiéndolos a la Coordinación Administrativa de la Unidad;</w:t>
      </w:r>
    </w:p>
    <w:p w:rsidR="00000000" w:rsidDel="00000000" w:rsidP="00000000" w:rsidRDefault="00000000" w:rsidRPr="00000000" w14:paraId="0000003F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XIII a la XIV.- …</w:t>
      </w:r>
    </w:p>
    <w:p w:rsidR="00000000" w:rsidDel="00000000" w:rsidP="00000000" w:rsidRDefault="00000000" w:rsidRPr="00000000" w14:paraId="0000004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Proporcionar información y el apoyo que le sea requerido por las unidades administrativas de la Dependencia, para el cumplimiento de sus funciones; y</w:t>
      </w:r>
    </w:p>
    <w:p w:rsidR="00000000" w:rsidDel="00000000" w:rsidP="00000000" w:rsidRDefault="00000000" w:rsidRPr="00000000" w14:paraId="00000041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 la Unidad y las disposiciones legales en la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17.- …</w:t>
      </w:r>
    </w:p>
    <w:p w:rsidR="00000000" w:rsidDel="00000000" w:rsidP="00000000" w:rsidRDefault="00000000" w:rsidRPr="00000000" w14:paraId="0000004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 a la XIII.- …</w:t>
      </w:r>
    </w:p>
    <w:p w:rsidR="00000000" w:rsidDel="00000000" w:rsidP="00000000" w:rsidRDefault="00000000" w:rsidRPr="00000000" w14:paraId="00000044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Instruir el seguimiento a los convenios o acuerdos suscritos por el Estado a través de la Unidad con los sectores público, social y privado;</w:t>
      </w:r>
    </w:p>
    <w:p w:rsidR="00000000" w:rsidDel="00000000" w:rsidP="00000000" w:rsidRDefault="00000000" w:rsidRPr="00000000" w14:paraId="00000045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XV a la XXI.- …</w:t>
      </w:r>
    </w:p>
    <w:p w:rsidR="00000000" w:rsidDel="00000000" w:rsidP="00000000" w:rsidRDefault="00000000" w:rsidRPr="00000000" w14:paraId="00000046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Instruir la coordinación de las y los servidores públicos que actuarán como representantes de la Persona Titular de la Unidad en los Comités durante los procedimientos de contratación en materia de adquisiciones, arrendamientos y servicios del sector público, de obras públicas y servicios relacionados con las mismas, así como en los procedimientos de enajenación de bienes y, en las sesiones ordinarias y extraordinarias que celebren;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XXIII a la XXVI…</w:t>
      </w:r>
    </w:p>
    <w:p w:rsidR="00000000" w:rsidDel="00000000" w:rsidP="00000000" w:rsidRDefault="00000000" w:rsidRPr="00000000" w14:paraId="00000048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XXVII.-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Emitir opinión técnica en colaboración con la Coordinación General de Evaluación y Políticas Públicas respecto de los proyectos de reglas de operación de los programas sociales establecidos en el Presupuesto de Egresos del ejercicio fiscal correspondiente;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XXVIII.-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 la Unidad y las disposiciones legales en la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19.- …  </w:t>
      </w:r>
    </w:p>
    <w:p w:rsidR="00000000" w:rsidDel="00000000" w:rsidP="00000000" w:rsidRDefault="00000000" w:rsidRPr="00000000" w14:paraId="0000004B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I.- … </w:t>
      </w:r>
    </w:p>
    <w:p w:rsidR="00000000" w:rsidDel="00000000" w:rsidP="00000000" w:rsidRDefault="00000000" w:rsidRPr="00000000" w14:paraId="0000004C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Validar el Programa Anual de Evaluación para el Desarrollo del Estado de Hidalgo, con base a los elementos de análisis prioritarios derivados de los instrumentos rectores de planeación e información específica y hacerlo de conocimiento a la Persona Titular de la Unidad;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III a la IV.- …</w:t>
      </w:r>
    </w:p>
    <w:p w:rsidR="00000000" w:rsidDel="00000000" w:rsidP="00000000" w:rsidRDefault="00000000" w:rsidRPr="00000000" w14:paraId="0000004E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la actualización de la información y difusión sobre los resultados de monitoreo y  evaluación;</w:t>
      </w:r>
    </w:p>
    <w:p w:rsidR="00000000" w:rsidDel="00000000" w:rsidP="00000000" w:rsidRDefault="00000000" w:rsidRPr="00000000" w14:paraId="0000004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Realizar el análisis estratégico de los resultados de percepción, monitoreo y evaluación de todos los sectores de la administración pública del Estado;</w:t>
      </w:r>
    </w:p>
    <w:p w:rsidR="00000000" w:rsidDel="00000000" w:rsidP="00000000" w:rsidRDefault="00000000" w:rsidRPr="00000000" w14:paraId="00000050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VII.- …</w:t>
      </w:r>
    </w:p>
    <w:p w:rsidR="00000000" w:rsidDel="00000000" w:rsidP="00000000" w:rsidRDefault="00000000" w:rsidRPr="00000000" w14:paraId="00000051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Solicitar a las dependencias y entidades, la información correspondiente del Tablero de Indicadores del Estado de Hidalgo, así como la relacionada con el cumplimiento de la Agenda 2030 o los acuerdos internacionales que correspondan;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IX.- …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Implementar me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canismos asociados al ejercicio gubernamental para identificar las necesidades sociales a nivel estatal,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regional y municipal en el Estado;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XI.-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Analizar y en su caso, emitir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recomendaciones para la elaboración de las Reglas de Operación de los programas públicos;</w:t>
      </w:r>
    </w:p>
    <w:p w:rsidR="00000000" w:rsidDel="00000000" w:rsidP="00000000" w:rsidRDefault="00000000" w:rsidRPr="00000000" w14:paraId="00000055">
      <w:pPr>
        <w:spacing w:after="0" w:before="240" w:line="276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 BIS.-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Emitir opinión técnica en colaboración con la Coordinación General de Normatividad y Entidades Paraestatales respecto de los proyectos de reglas de operación de los programas sociales establecidos en el Presupuesto de Egresos del ejercicio fiscal correspondiente;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XII.- …</w:t>
      </w:r>
    </w:p>
    <w:p w:rsidR="00000000" w:rsidDel="00000000" w:rsidP="00000000" w:rsidRDefault="00000000" w:rsidRPr="00000000" w14:paraId="00000057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XIII.-</w:t>
      </w:r>
      <w:r w:rsidDel="00000000" w:rsidR="00000000" w:rsidRPr="00000000">
        <w:rPr>
          <w:rFonts w:ascii="Arial" w:cs="Arial" w:eastAsia="Arial" w:hAnsi="Arial"/>
          <w:b w:val="1"/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la integración del Informe Anual de la Persona Titular del Poder Ejecutivo;</w:t>
      </w:r>
    </w:p>
    <w:p w:rsidR="00000000" w:rsidDel="00000000" w:rsidP="00000000" w:rsidRDefault="00000000" w:rsidRPr="00000000" w14:paraId="00000058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XIV a la XVII.- …</w:t>
      </w:r>
    </w:p>
    <w:p w:rsidR="00000000" w:rsidDel="00000000" w:rsidP="00000000" w:rsidRDefault="00000000" w:rsidRPr="00000000" w14:paraId="00000059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22.- …</w:t>
      </w:r>
    </w:p>
    <w:p w:rsidR="00000000" w:rsidDel="00000000" w:rsidP="00000000" w:rsidRDefault="00000000" w:rsidRPr="00000000" w14:paraId="0000005A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 a la VIII.- …</w:t>
      </w:r>
    </w:p>
    <w:p w:rsidR="00000000" w:rsidDel="00000000" w:rsidP="00000000" w:rsidRDefault="00000000" w:rsidRPr="00000000" w14:paraId="0000005B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Formular los anteproyectos de presupuestos relativos a la Dirección General a su cargo, conforme a las normas establecidas por la Secretaría de Hacienda y los lineamientos señalados por la Coordinación Administrativa de la Unidad;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Elaborar conforme a los lineamientos establecidos por la Coordinación Administrativa de la Unidad el Proyecto de Manual de Organización y de Procedimientos, correspondiente a la Dirección General a su cargo;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XI a la XV.- …</w:t>
      </w:r>
    </w:p>
    <w:p w:rsidR="00000000" w:rsidDel="00000000" w:rsidP="00000000" w:rsidRDefault="00000000" w:rsidRPr="00000000" w14:paraId="0000005E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Coadyuvar en la actualización de la normatividad aplicable en el ámbito de su competencia;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Integrar y mantener actualizados, los inventarios y archivos de la unidad administrativa a su cargo;</w:t>
      </w:r>
    </w:p>
    <w:p w:rsidR="00000000" w:rsidDel="00000000" w:rsidP="00000000" w:rsidRDefault="00000000" w:rsidRPr="00000000" w14:paraId="00000060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Solicitar información relacionada con la competencia de la Unidad a las instancias estatales o municipales para el  cumplimiento de sus funciones;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 la Unidad y las disposiciones legales en la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23.- …</w:t>
      </w:r>
    </w:p>
    <w:p w:rsidR="00000000" w:rsidDel="00000000" w:rsidP="00000000" w:rsidRDefault="00000000" w:rsidRPr="00000000" w14:paraId="0000006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y III.- …</w:t>
      </w:r>
    </w:p>
    <w:p w:rsidR="00000000" w:rsidDel="00000000" w:rsidP="00000000" w:rsidRDefault="00000000" w:rsidRPr="00000000" w14:paraId="00000064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Bis.-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Designar  al personal a su cargo para que realice las notificaciones que  sean de su competencia;</w:t>
      </w:r>
    </w:p>
    <w:p w:rsidR="00000000" w:rsidDel="00000000" w:rsidP="00000000" w:rsidRDefault="00000000" w:rsidRPr="00000000" w14:paraId="00000065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IV a la VII.- …</w:t>
      </w:r>
    </w:p>
    <w:p w:rsidR="00000000" w:rsidDel="00000000" w:rsidP="00000000" w:rsidRDefault="00000000" w:rsidRPr="00000000" w14:paraId="00000066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Instruir el análisis jurídico, emitir observaciones y, en su caso proponer la validación de los proyectos de ley, reglamentos, decretos, lineamientos, acuerdos, circulares, convenios y demás disposiciones relacionadas con la competencia de la Unidad, así como aquellos que sean puestos a consideración de la Unidad;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IX a la XII.- …</w:t>
      </w:r>
    </w:p>
    <w:p w:rsidR="00000000" w:rsidDel="00000000" w:rsidP="00000000" w:rsidRDefault="00000000" w:rsidRPr="00000000" w14:paraId="00000068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Dar seguimiento a los convenios o acuerdos suscritos por el Estado, a través o con la asistencia de la Unidad con los sectores público, social y privado, solicitando la información a las instancias correspondientes sobre el cumplimiento de los mismos;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XIV.- …</w:t>
      </w:r>
    </w:p>
    <w:p w:rsidR="00000000" w:rsidDel="00000000" w:rsidP="00000000" w:rsidRDefault="00000000" w:rsidRPr="00000000" w14:paraId="0000006A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Verificar el cumplimiento de las obligaciones en materia de transparencia y acceso a la información pública gubernamental de la Unidad, la actualización de estas obligaciones en la página web institucional, y la atención oportuna de las solicitudes de acceso a la información pública que ingresen a la Unidad;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a las y los servidores públicos que actuarán como representantes de la Persona Titular de la Unidad en los Comités durante los procedimientos de contratación en materia de adquisiciones, arrendamientos y servicios del sector público, de obras públicas y servicios relacionados con las mismas, en los procedimientos de enajenación de bienes y en las sesiones ordinarias y extraordinarias que lleven a cabo;</w:t>
      </w:r>
    </w:p>
    <w:p w:rsidR="00000000" w:rsidDel="00000000" w:rsidP="00000000" w:rsidRDefault="00000000" w:rsidRPr="00000000" w14:paraId="0000006C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XVII a la XXI.- …</w:t>
      </w:r>
    </w:p>
    <w:p w:rsidR="00000000" w:rsidDel="00000000" w:rsidP="00000000" w:rsidRDefault="00000000" w:rsidRPr="00000000" w14:paraId="0000006D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24.-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Corresponde a la Dirección General de Control y Seguimiento a Entidades Paraestatales, las siguientes facultades: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 el cumplimiento de los Objetivos de Desarrollo Sostenible de la Agenda 2030 en el sector paraestatal;</w:t>
      </w:r>
    </w:p>
    <w:p w:rsidR="00000000" w:rsidDel="00000000" w:rsidP="00000000" w:rsidRDefault="00000000" w:rsidRPr="00000000" w14:paraId="0000006F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Representar a la Persona Titular de la Unidad en los Órganos de Gobierno de las Entidades en que participe;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III.- …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Organizar periódicamente el estado de la gestión gubernamental, evaluando  el cumplimiento de indicadores de las Entidades para la elaboración de los diagnósticos situacionales;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Evaluar el cumplimiento de los indicadores operativos en congruencia con los indicadores descritos en el Programa Institucional de Desarrollo, para la elaboración de los diagnósticos situacionales;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Impulsar la actualización oportuna para la integración de los elementos jurídico administrativos de las Entidades  en las carpetas ejecutivas de las sesiones de los Órganos de Gobierno;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Participar en el proceso presupuestario anual de las Entidades, basados en evaluaciones históricas, a efecto de lograr la eficiencia en el gasto público y favorecer la rendición de cuentas para la ejecución de sus programas institucionales;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Verificar que las Entidades den cumplimiento a las disposiciones aplicables relativas a su operación y administración;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Generar  reportes sobre el cumplimiento de la operación y administración de los organismos descentralizados;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Establecer los mecanismos de control y seguimiento para la ejecución oportuna de los acuerdos tomados en los Órganos de Gobierno de las Entidades;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 las Entidades cumplan con la formulación y presentación oportuna de los programas presupuestarios, programáticos y su Programa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Institucional de Desarrollo, los cuales deberán estar alineados al Plan Estatal;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Evaluar periódicamente la planeación de la administración, el comportamiento programático presupuestal y el cumplimiento de objetivos y metas para el seguimiento de las Entidades;</w:t>
      </w:r>
    </w:p>
    <w:p w:rsidR="00000000" w:rsidDel="00000000" w:rsidP="00000000" w:rsidRDefault="00000000" w:rsidRPr="00000000" w14:paraId="0000007A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Generar propuestas para la correcta toma de decisiones en apego a la normativa, a través de la recopilación de datos o información del ejercicio de rendición de cuentas que realicen las Entidades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XIV.-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Controlar a las Entidades, para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cumplimiento de su objeto,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dando seguimiento a sus obligaciones normativas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fiscales, presupuestarias y laborales; a través, de la transparencia en la información del ejercicio de rendición de cuentas que realicen las Entidades;</w:t>
      </w:r>
    </w:p>
    <w:p w:rsidR="00000000" w:rsidDel="00000000" w:rsidP="00000000" w:rsidRDefault="00000000" w:rsidRPr="00000000" w14:paraId="0000007C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mecanismos informáticos avanzados, la recopilación de datos para organizar y ordenar la información histórica;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las actualizaciones del Registro Público de Organismos Descentralizados, verificando que las Entidades inscriban la información fiscal, administrativa, financiera, presupuestal, jurídica a que estén obligados, así como cualquier otra que les fuere solicitada;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E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Sistematizar la información del Registro Público de Organismos Descentralizados para dar acceso al público en general, manteniendo actualizados los sistemas informáticos; </w:t>
      </w:r>
    </w:p>
    <w:p w:rsidR="00000000" w:rsidDel="00000000" w:rsidP="00000000" w:rsidRDefault="00000000" w:rsidRPr="00000000" w14:paraId="0000007F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XVIII.-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Emitir la constancia de inscripción al Registro Público de Organismos Descentralizados y el estatus de cumplimiento de la inscripción correspondiente;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Supervisar a las entidades en las que la Unidad funja como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ínculo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nstitucional, en términos de la legislación aplicable;</w:t>
      </w:r>
    </w:p>
    <w:p w:rsidR="00000000" w:rsidDel="00000000" w:rsidP="00000000" w:rsidRDefault="00000000" w:rsidRPr="00000000" w14:paraId="00000081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XX.- …</w:t>
      </w:r>
    </w:p>
    <w:p w:rsidR="00000000" w:rsidDel="00000000" w:rsidP="00000000" w:rsidRDefault="00000000" w:rsidRPr="00000000" w14:paraId="00000082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los procesos de integración y desincorporación de las Entidades;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XXII.- …</w:t>
      </w:r>
    </w:p>
    <w:p w:rsidR="00000000" w:rsidDel="00000000" w:rsidP="00000000" w:rsidRDefault="00000000" w:rsidRPr="00000000" w14:paraId="00000084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Proponer a su superior jerárquico, la expedición de acuerdos que se consideren necesarios, en su caso, para actualizar la clasificación sectorial de las Entidades;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XXIV.-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Coordinar la creación y el seguimiento a la instrumentación y funcionamiento de los sistemas informáticos que guardan la información general, programática, presupuestal y de seguimiento a las Entidades;</w:t>
      </w:r>
    </w:p>
    <w:p w:rsidR="00000000" w:rsidDel="00000000" w:rsidP="00000000" w:rsidRDefault="00000000" w:rsidRPr="00000000" w14:paraId="00000086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 el análisis de los procesos para su perfeccionamiento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identificar áreas de oportunidad que generen mejores resultados;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Disponer para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Entidades, asesorías técnicas relacionadas con los asuntos a tratar en las sesiones del Órgano de Gobierno y que sean de su competencia;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XXVII.-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Proponer a la Persona Titular de la Unidad los acuerdos, circulares, lineamientos y demás disposiciones para el control y seguimiento a Entidades; así como aquellos para la operación de los sistemas informáticos en que se resguarda y procesa la información;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Implementar mecanismos para integrar la información que permita la organización, control y seguimiento a Entidades, en coordinación con las Dependencias Globalizadoras;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Expedir las certificaciones del Registro Público de Organismos Descentralizados;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Realizar visitas a las Entidades, en términos de la legislación aplicable,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su control, seguimiento y evaluación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oportuna; y</w:t>
      </w:r>
    </w:p>
    <w:p w:rsidR="00000000" w:rsidDel="00000000" w:rsidP="00000000" w:rsidRDefault="00000000" w:rsidRPr="00000000" w14:paraId="0000008C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 la Unidad y las disposiciones legales en la materia.</w:t>
      </w:r>
    </w:p>
    <w:p w:rsidR="00000000" w:rsidDel="00000000" w:rsidP="00000000" w:rsidRDefault="00000000" w:rsidRPr="00000000" w14:paraId="0000008D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26.- …</w:t>
      </w:r>
    </w:p>
    <w:p w:rsidR="00000000" w:rsidDel="00000000" w:rsidP="00000000" w:rsidRDefault="00000000" w:rsidRPr="00000000" w14:paraId="0000008E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 a la XXIII.- …</w:t>
      </w:r>
    </w:p>
    <w:p w:rsidR="00000000" w:rsidDel="00000000" w:rsidP="00000000" w:rsidRDefault="00000000" w:rsidRPr="00000000" w14:paraId="0000008F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 en la planeación territorial y urbana para asegurar el desarrollo integral y sostenible de las regiones y las zonas metropolitanas en el corto, mediano y largo plazo;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 con las instancias gubernamentales correspondientes en la ejecución de mecanismos de planeación territorial y desarrollo urbano, a escala regional, metropolitana, municipal, zonas intermunicipales, de conurbación, del centro de población y parciales;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 la Unidad y las disposiciones legales en la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28.- …</w:t>
      </w:r>
    </w:p>
    <w:p w:rsidR="00000000" w:rsidDel="00000000" w:rsidP="00000000" w:rsidRDefault="00000000" w:rsidRPr="00000000" w14:paraId="0000009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I.- …</w:t>
      </w:r>
    </w:p>
    <w:p w:rsidR="00000000" w:rsidDel="00000000" w:rsidP="00000000" w:rsidRDefault="00000000" w:rsidRPr="00000000" w14:paraId="00000094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Elaborar, coordinar y emitir el Programa Anual de Evaluación para el Desarrollo del Estado de Hidalgo, en el marco del Sistema Estatal de Monitoreo y Evaluación;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III a la IV.- …</w:t>
      </w:r>
    </w:p>
    <w:p w:rsidR="00000000" w:rsidDel="00000000" w:rsidP="00000000" w:rsidRDefault="00000000" w:rsidRPr="00000000" w14:paraId="00000096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Conocer y socializar con los actores involucrados, convenios y resultados con las dependencias y entidades del Estado para realizar evaluaciones internas, externas o mixtas aplicadas a las intervenciones públicas;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VI.- …</w:t>
      </w:r>
    </w:p>
    <w:p w:rsidR="00000000" w:rsidDel="00000000" w:rsidP="00000000" w:rsidRDefault="00000000" w:rsidRPr="00000000" w14:paraId="00000098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Formular el reporte Anual de Evaluación que sirva como referencia para la integración de políticas públicas;</w:t>
      </w:r>
    </w:p>
    <w:p w:rsidR="00000000" w:rsidDel="00000000" w:rsidP="00000000" w:rsidRDefault="00000000" w:rsidRPr="00000000" w14:paraId="00000099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VIII.- …</w:t>
      </w:r>
    </w:p>
    <w:p w:rsidR="00000000" w:rsidDel="00000000" w:rsidP="00000000" w:rsidRDefault="00000000" w:rsidRPr="00000000" w14:paraId="0000009A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Revisar y validar los indicadores que integran los programas sectoriales, especiales e institucionales para medir el logro de los objetivos planteados;</w:t>
      </w:r>
    </w:p>
    <w:p w:rsidR="00000000" w:rsidDel="00000000" w:rsidP="00000000" w:rsidRDefault="00000000" w:rsidRPr="00000000" w14:paraId="0000009B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Evaluar el resultado de los indicadores de los programas sectoriales, especiales e institucionales a través de los medios de verificación basados en evidencias conforme a los lineamientos establecidos;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el seguimiento a los trabajos para el cumplimiento de la Agenda 2030, al interior de la administración pública estatal y paraestatal en congruencia con la visión de la estrategia del Plan Estatal;</w:t>
      </w:r>
    </w:p>
    <w:p w:rsidR="00000000" w:rsidDel="00000000" w:rsidP="00000000" w:rsidRDefault="00000000" w:rsidRPr="00000000" w14:paraId="0000009D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el órgano de seguimiento de la Agenda 2030 y el Sistema de Información de los Objetivos de Desarrollo Sostenible; y</w:t>
      </w:r>
    </w:p>
    <w:p w:rsidR="00000000" w:rsidDel="00000000" w:rsidP="00000000" w:rsidRDefault="00000000" w:rsidRPr="00000000" w14:paraId="0000009E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demás que le confiera la Persona Titular de la Unidad y las disposiciones legales en la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29.- …</w:t>
      </w:r>
    </w:p>
    <w:p w:rsidR="00000000" w:rsidDel="00000000" w:rsidP="00000000" w:rsidRDefault="00000000" w:rsidRPr="00000000" w14:paraId="000000A0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Coadyuvar en la Instalación Subcomité Especial de Evaluación, así como el Consejo Interno de Monitoreo y Evaluación;</w:t>
      </w:r>
    </w:p>
    <w:p w:rsidR="00000000" w:rsidDel="00000000" w:rsidP="00000000" w:rsidRDefault="00000000" w:rsidRPr="00000000" w14:paraId="000000A1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Generar información derivada del  monitoreo, que contribuyan a la evaluación de resultados requeridos para la toma de decisiones;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la III a la V.- …</w:t>
      </w:r>
    </w:p>
    <w:p w:rsidR="00000000" w:rsidDel="00000000" w:rsidP="00000000" w:rsidRDefault="00000000" w:rsidRPr="00000000" w14:paraId="000000A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Solicitar a las dependencias y entidades de la administración pública la evidencia que de soporte a los resultados de los avances de las intervenciones públicas;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Difundir el informe de los resultados obtenidos de los monitoreos ciudadanos, de los programas, proyectos, acciones e indicadores de las dependencias y entidades;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VIII.-…</w:t>
      </w:r>
    </w:p>
    <w:p w:rsidR="00000000" w:rsidDel="00000000" w:rsidP="00000000" w:rsidRDefault="00000000" w:rsidRPr="00000000" w14:paraId="000000A6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Emitir recomendaciones técnicas a las Dependencias y entidades en el seguimiento de las Reglas de Operación de los programas públicos;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 a la XI.- …</w:t>
      </w:r>
    </w:p>
    <w:p w:rsidR="00000000" w:rsidDel="00000000" w:rsidP="00000000" w:rsidRDefault="00000000" w:rsidRPr="00000000" w14:paraId="000000A8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30.-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deroga.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Artículo 31.- …</w:t>
      </w:r>
    </w:p>
    <w:p w:rsidR="00000000" w:rsidDel="00000000" w:rsidP="00000000" w:rsidRDefault="00000000" w:rsidRPr="00000000" w14:paraId="000000AA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las acciones conducentes para dotar al Sistema de Información Georreferenciada del Estado de Hidalgo (SIGEH) de insumos de información con calidad, compleción, relevancia, consistencia, accesibilidad y pertinencia, necesarios para la planeación enfocada en el desarrollo, la toma de decisiones basadas en evidencia y la mejora de la política pública;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Solicitar a las dependencias y organismos de la administración pública estatal los insumos de información necesarios para mantener actualizado y disponible al SIGEH;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Dotar a las dependencias y organismos de la administración pública estatal, que así lo soliciten, de productos de información estadística y geográfica con el objetivo de fortalecer su proceso de mejora de políticas públicas y toma de decisiones;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Brindar asesoría técnica a las personas funcionarias públicas estatales en la recopilación, manejo, procesamiento y presentación de insumos de información requeridos por el SIGEH;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Implementar los procesos de recopilación, integración, almacenamiento, homologación, organización, normalización, validación y análisis de los datos, que garanticen la calidad y completitud de la información disponible en el SIGEH;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Consensuar con las dependencias y organismos de la administración pública estatal, los Aspectos Susceptibles de Mejora (ASM) derivados de las políticas públicas que den cumplimiento a los objetivos estratégicos establecidos por el Plan Estatal de Desarrollo (PED);</w:t>
      </w:r>
    </w:p>
    <w:p w:rsidR="00000000" w:rsidDel="00000000" w:rsidP="00000000" w:rsidRDefault="00000000" w:rsidRPr="00000000" w14:paraId="000000B0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Mantener actualizado de manera periódica al Banco Único de Información Estadística y Geográfica;</w:t>
      </w:r>
    </w:p>
    <w:p w:rsidR="00000000" w:rsidDel="00000000" w:rsidP="00000000" w:rsidRDefault="00000000" w:rsidRPr="00000000" w14:paraId="000000B1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Respaldar y resguardar la información que concentra el SIGEH y el Banco Único de Información Estadística y Geográfica;</w:t>
      </w:r>
    </w:p>
    <w:p w:rsidR="00000000" w:rsidDel="00000000" w:rsidP="00000000" w:rsidRDefault="00000000" w:rsidRPr="00000000" w14:paraId="000000B2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 continuamente el fortalecimiento y uso del SIGEH entre las personas funcionarias públicas para el cumplimiento de los objetivos plasmados en la Fracción I del presente artículo;</w:t>
      </w:r>
    </w:p>
    <w:p w:rsidR="00000000" w:rsidDel="00000000" w:rsidP="00000000" w:rsidRDefault="00000000" w:rsidRPr="00000000" w14:paraId="000000B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Proponer la celebración de convenios colaborativos para el intercambio de insumos de información entre la Unidad y las dependencias y organismos de la administración pública estatal;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Proponer la elaboración de estudios especializados e investigaciones relacionadas con la identificación, caracterización y definición de problemas públicos dirigidos a la toma de decisiones basadas en evidencia y racionalidad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B5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 y vigilar el cumplimiento de la normatividad vigente en materia de información estadística y geográfica; y</w:t>
      </w:r>
    </w:p>
    <w:p w:rsidR="00000000" w:rsidDel="00000000" w:rsidP="00000000" w:rsidRDefault="00000000" w:rsidRPr="00000000" w14:paraId="000000B6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XIII.- …</w:t>
      </w:r>
    </w:p>
    <w:p w:rsidR="00000000" w:rsidDel="00000000" w:rsidP="00000000" w:rsidRDefault="00000000" w:rsidRPr="00000000" w14:paraId="000000B7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 R A N S I T O R I O S</w:t>
      </w:r>
    </w:p>
    <w:p w:rsidR="00000000" w:rsidDel="00000000" w:rsidP="00000000" w:rsidRDefault="00000000" w:rsidRPr="00000000" w14:paraId="000000B8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PRIMERO.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presente Decreto entrará en vigor al día siguiente de su publicación en el Periódico Oficial del Estado de Hidalgo.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SEGUNDO.-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actividades, funciones y trámites a cargo de las Direcciones que se suprimen serán atendidos y resueltos por las unidades administrativas de la Unidad que conforme al presente Reglamento resulten competentes.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TERCERO.-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Coordinación Administrativa de la Unidad de Planeación y Prospectiva realizará los trámites correspondientes para la reasignación de los recursos humanos y materiales de las unidades administrativas que se modifican en el presente decreto.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CUARTO.-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derogan todas las disposiciones que se opongan al presente reglamento.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Dado en la residencia del Poder Ejecutivo del Estado de Hidalgo, en la ciudad de Pachuca de Soto, Hidalgo, a los ___ días del mes de junio de dos mil veinticuatro.</w:t>
      </w:r>
    </w:p>
    <w:p w:rsidR="00000000" w:rsidDel="00000000" w:rsidP="00000000" w:rsidRDefault="00000000" w:rsidRPr="00000000" w14:paraId="000000BD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 GOBERNADOR CONSTITUCIONAL DEL</w:t>
      </w:r>
    </w:p>
    <w:p w:rsidR="00000000" w:rsidDel="00000000" w:rsidP="00000000" w:rsidRDefault="00000000" w:rsidRPr="00000000" w14:paraId="000000C0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ESTADO LIBRE Y SOBERANO DE HIDALGO</w:t>
      </w:r>
    </w:p>
    <w:p w:rsidR="00000000" w:rsidDel="00000000" w:rsidP="00000000" w:rsidRDefault="00000000" w:rsidRPr="00000000" w14:paraId="000000C1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LIC. JULIO RAMÓN MENCHACA SALAZAR</w:t>
      </w:r>
    </w:p>
    <w:p w:rsidR="00000000" w:rsidDel="00000000" w:rsidP="00000000" w:rsidRDefault="00000000" w:rsidRPr="00000000" w14:paraId="000000C2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  <w:sectPr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RÚBRICA</w:t>
      </w:r>
    </w:p>
    <w:p w:rsidR="00000000" w:rsidDel="00000000" w:rsidP="00000000" w:rsidRDefault="00000000" w:rsidRPr="00000000" w14:paraId="000000C3">
      <w:pPr>
        <w:spacing w:after="0" w:before="0"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SECRETARIO DE GOBIERNO  </w:t>
        <w:tab/>
      </w:r>
    </w:p>
    <w:p w:rsidR="00000000" w:rsidDel="00000000" w:rsidP="00000000" w:rsidRDefault="00000000" w:rsidRPr="00000000" w14:paraId="000000C6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LIC. GUILLERMO OLIVARES REYNA</w:t>
      </w:r>
    </w:p>
    <w:p w:rsidR="00000000" w:rsidDel="00000000" w:rsidP="00000000" w:rsidRDefault="00000000" w:rsidRPr="00000000" w14:paraId="000000C7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RÚBRICA</w:t>
      </w:r>
    </w:p>
    <w:p w:rsidR="00000000" w:rsidDel="00000000" w:rsidP="00000000" w:rsidRDefault="00000000" w:rsidRPr="00000000" w14:paraId="000000C8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UNIDAD DE PLANEACIÓN Y PROSPECTIVA</w:t>
      </w:r>
    </w:p>
    <w:p w:rsidR="00000000" w:rsidDel="00000000" w:rsidP="00000000" w:rsidRDefault="00000000" w:rsidRPr="00000000" w14:paraId="000000CC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MTRO. MIGUEL ÁNGEL TELLO VARGAS</w:t>
      </w:r>
    </w:p>
    <w:p w:rsidR="00000000" w:rsidDel="00000000" w:rsidP="00000000" w:rsidRDefault="00000000" w:rsidRPr="00000000" w14:paraId="000000CD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20" w:w="4059"/>
            <w:col w:space="0" w:w="4059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RÚBRICA</w:t>
      </w:r>
    </w:p>
    <w:p w:rsidR="00000000" w:rsidDel="00000000" w:rsidP="00000000" w:rsidRDefault="00000000" w:rsidRPr="00000000" w14:paraId="000000CE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272C6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E21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GN+x76p8oITFyQtOe7/TGD7Xg==">CgMxLjA4AHIhMWpoMG80Y1piUC1hVHVBamhGc3M3NndDbWNPeEROd1p3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2024-06-10T17:55:00Z</dcterms:created>
  <dc:creator>Amaya Hernández Sánchez</dc:creator>
</cp:coreProperties>
</file>